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6721" w14:textId="77777777" w:rsidR="003923F7" w:rsidRDefault="003923F7" w:rsidP="003923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Q&amp;A Function</w:t>
      </w:r>
    </w:p>
    <w:p w14:paraId="02F1D31F" w14:textId="77777777" w:rsidR="00DB32D4" w:rsidRDefault="00DB32D4" w:rsidP="003923F7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6385"/>
      </w:tblGrid>
      <w:tr w:rsidR="003923F7" w14:paraId="26D3BBC9" w14:textId="77777777" w:rsidTr="00DB32D4"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278A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CF11" w14:textId="07637B0D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</w:t>
            </w:r>
          </w:p>
        </w:tc>
      </w:tr>
      <w:tr w:rsidR="003923F7" w14:paraId="1EBE20A8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C432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one think that it would be beneficial for any autoimmune disorder that can impact the placenta? Pemphigoid gestationis was seen this year – and it can cause placental aging.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27EC" w14:textId="5874E5E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Yes, autoimmune disorders in general are listed as </w:t>
            </w:r>
            <w:r w:rsidR="00AB5C41">
              <w:rPr>
                <w:sz w:val="22"/>
                <w:szCs w:val="22"/>
              </w:rPr>
              <w:t>high-risk</w:t>
            </w:r>
            <w:r>
              <w:rPr>
                <w:sz w:val="22"/>
                <w:szCs w:val="22"/>
              </w:rPr>
              <w:t xml:space="preserve"> </w:t>
            </w:r>
            <w:r w:rsidR="00AB5C41">
              <w:rPr>
                <w:sz w:val="22"/>
                <w:szCs w:val="22"/>
              </w:rPr>
              <w:t>factors.</w:t>
            </w:r>
          </w:p>
          <w:p w14:paraId="26F9E72E" w14:textId="77777777" w:rsidR="00A075FF" w:rsidRDefault="00A075FF">
            <w:pPr>
              <w:rPr>
                <w:sz w:val="22"/>
                <w:szCs w:val="22"/>
              </w:rPr>
            </w:pPr>
          </w:p>
          <w:p w14:paraId="278E7228" w14:textId="10C381BF" w:rsidR="00A075FF" w:rsidRDefault="00A075FF">
            <w:pPr>
              <w:rPr>
                <w:sz w:val="22"/>
                <w:szCs w:val="22"/>
              </w:rPr>
            </w:pPr>
          </w:p>
        </w:tc>
      </w:tr>
      <w:tr w:rsidR="003923F7" w14:paraId="6FE6C448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8260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another medication for those who are allergic to ASA??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63D1" w14:textId="162F0D6F" w:rsidR="00E0765D" w:rsidRPr="00AB5C41" w:rsidRDefault="00A075FF" w:rsidP="00E0765D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LDA is the only medication that studies have shown to prevent preeclampsia</w:t>
            </w:r>
            <w:r w:rsidR="00E0765D" w:rsidRPr="00AB5C41">
              <w:rPr>
                <w:color w:val="000000" w:themeColor="text1"/>
                <w:sz w:val="22"/>
                <w:szCs w:val="22"/>
              </w:rPr>
              <w:t xml:space="preserve"> and the risk of developing preeclampsia 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in those who are </w:t>
            </w:r>
            <w:r w:rsidR="00AB5C41" w:rsidRPr="00AB5C41">
              <w:rPr>
                <w:color w:val="000000" w:themeColor="text1"/>
                <w:sz w:val="22"/>
                <w:szCs w:val="22"/>
              </w:rPr>
              <w:t xml:space="preserve">at 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increased risk.  </w:t>
            </w:r>
            <w:r w:rsidR="00E0765D" w:rsidRPr="00AB5C41">
              <w:rPr>
                <w:color w:val="000000" w:themeColor="text1"/>
                <w:sz w:val="22"/>
                <w:szCs w:val="22"/>
              </w:rPr>
              <w:t xml:space="preserve">  Several agents, such as, Vitamin C, E, folic acid, co-Enzyme Q, calcium, selenium, relaxation therapy, </w:t>
            </w:r>
            <w:r w:rsidR="00AB5C41" w:rsidRPr="00AB5C41">
              <w:rPr>
                <w:color w:val="000000" w:themeColor="text1"/>
                <w:sz w:val="22"/>
                <w:szCs w:val="22"/>
              </w:rPr>
              <w:t>etc.</w:t>
            </w:r>
            <w:r w:rsidR="00E0765D" w:rsidRPr="00AB5C41">
              <w:rPr>
                <w:color w:val="000000" w:themeColor="text1"/>
                <w:sz w:val="22"/>
                <w:szCs w:val="22"/>
              </w:rPr>
              <w:t>, have been evaluated and did not show they prevented preeclampsia and the risk of developing preeclampsia.</w:t>
            </w:r>
          </w:p>
          <w:p w14:paraId="7851A9AA" w14:textId="52921AAC" w:rsidR="00A075FF" w:rsidRPr="00AB5C41" w:rsidRDefault="00E0765D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3923F7" w14:paraId="08CB87FD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0328" w14:textId="77777777" w:rsidR="003923F7" w:rsidRPr="00AB5C41" w:rsidRDefault="003923F7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1</w:t>
            </w:r>
            <w:r w:rsidRPr="00AB5C41"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trimester bleeding is relatively common; when can these women begin LDA?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AF0A1" w14:textId="77777777" w:rsidR="003A4D52" w:rsidRPr="00AB5C41" w:rsidRDefault="003A4D52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The patient should work with their Perinatal provider to determine if the cause of their 1</w:t>
            </w:r>
            <w:r w:rsidRPr="00AB5C41"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trimester bleeding has made LDA contraindicated for them or not.  Per ACOG “</w:t>
            </w:r>
            <w:r w:rsidRPr="00AB5C41">
              <w:rPr>
                <w:color w:val="000000" w:themeColor="text1"/>
                <w:sz w:val="22"/>
                <w:szCs w:val="22"/>
                <w:shd w:val="clear" w:color="auto" w:fill="FFFFFF"/>
              </w:rPr>
              <w:t>The decision to continue low-dose aspirin in the presence of obstetric bleeding or risk factors for obstetric bleeding should be considered on a case-by-case basis”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    </w:t>
            </w:r>
          </w:p>
          <w:p w14:paraId="2F92ECA1" w14:textId="77777777" w:rsidR="003A4D52" w:rsidRPr="00AB5C41" w:rsidRDefault="003A4D5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256D8E4" w14:textId="353D1CEB" w:rsidR="003A4D52" w:rsidRPr="00AB5C41" w:rsidRDefault="003A4D5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B5C41">
              <w:rPr>
                <w:i/>
                <w:iCs/>
                <w:color w:val="000000" w:themeColor="text1"/>
                <w:sz w:val="22"/>
                <w:szCs w:val="22"/>
              </w:rPr>
              <w:t>https://www.acog.org/clinical/clinical-guidance/committee-opinion/articles/2018/07/low-dose-aspirin-use-during-pregnancy</w:t>
            </w:r>
          </w:p>
        </w:tc>
      </w:tr>
      <w:tr w:rsidR="003923F7" w14:paraId="5F37F7E2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A159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all this data available online?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7BCB" w14:textId="5DDB8FEF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AB5C41">
              <w:rPr>
                <w:sz w:val="22"/>
                <w:szCs w:val="22"/>
              </w:rPr>
              <w:t>es</w:t>
            </w:r>
          </w:p>
        </w:tc>
      </w:tr>
      <w:tr w:rsidR="003923F7" w14:paraId="588AF7E3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817B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it matter if it is ER?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14D6" w14:textId="472BF889" w:rsidR="003A4D52" w:rsidRPr="00AB5C41" w:rsidRDefault="007B57CA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What is ER? Extended Release? I don’t believe it matters as studies d</w:t>
            </w:r>
            <w:r w:rsidR="00626C1C" w:rsidRPr="00AB5C41">
              <w:rPr>
                <w:color w:val="000000" w:themeColor="text1"/>
                <w:sz w:val="22"/>
                <w:szCs w:val="22"/>
              </w:rPr>
              <w:t>o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not differentiate between duration</w:t>
            </w:r>
            <w:r w:rsidR="00A06054" w:rsidRPr="00AB5C41">
              <w:rPr>
                <w:color w:val="000000" w:themeColor="text1"/>
                <w:sz w:val="22"/>
                <w:szCs w:val="22"/>
              </w:rPr>
              <w:t>s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of </w:t>
            </w:r>
            <w:r w:rsidR="00AB5C41" w:rsidRPr="00AB5C41">
              <w:rPr>
                <w:color w:val="000000" w:themeColor="text1"/>
                <w:sz w:val="22"/>
                <w:szCs w:val="22"/>
              </w:rPr>
              <w:t>action.</w:t>
            </w:r>
          </w:p>
          <w:p w14:paraId="49CD0022" w14:textId="54282083" w:rsidR="003A4D52" w:rsidRPr="007B57CA" w:rsidRDefault="003A4D52">
            <w:pPr>
              <w:rPr>
                <w:color w:val="0070C0"/>
                <w:sz w:val="22"/>
                <w:szCs w:val="22"/>
              </w:rPr>
            </w:pPr>
          </w:p>
        </w:tc>
      </w:tr>
      <w:tr w:rsidR="003923F7" w14:paraId="6B3A573D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951B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the 150 mg dose in this study instead of 81 mg?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1E40" w14:textId="219C2ABB" w:rsidR="003A4D52" w:rsidRPr="00AB5C41" w:rsidRDefault="00E230C2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 xml:space="preserve">This was a UK/European </w:t>
            </w:r>
            <w:r w:rsidR="00AB5C41" w:rsidRPr="00AB5C41">
              <w:rPr>
                <w:color w:val="000000" w:themeColor="text1"/>
                <w:sz w:val="22"/>
                <w:szCs w:val="22"/>
              </w:rPr>
              <w:t>trial,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and the manufacturer only supplies </w:t>
            </w:r>
            <w:r w:rsidR="0087381B" w:rsidRPr="00AB5C41">
              <w:rPr>
                <w:color w:val="000000" w:themeColor="text1"/>
                <w:sz w:val="22"/>
                <w:szCs w:val="22"/>
              </w:rPr>
              <w:t xml:space="preserve">dosages </w:t>
            </w:r>
            <w:r w:rsidR="0049615E" w:rsidRPr="00AB5C41">
              <w:rPr>
                <w:color w:val="000000" w:themeColor="text1"/>
                <w:sz w:val="22"/>
                <w:szCs w:val="22"/>
              </w:rPr>
              <w:t>of 75mg and 300mg</w:t>
            </w:r>
          </w:p>
        </w:tc>
      </w:tr>
      <w:tr w:rsidR="003923F7" w14:paraId="64E88774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9EC5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please go over the guidelines for how long once initiated a project pregnant patient should continue using aspirin? I think I heard stopping a few months before delivery?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F0EE" w14:textId="77777777" w:rsidR="00767FB3" w:rsidRPr="00AB5C41" w:rsidRDefault="00767FB3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 xml:space="preserve">Recommendation is to take ASA daily continually until delivery. If taken at </w:t>
            </w:r>
            <w:r w:rsidR="00874791" w:rsidRPr="00AB5C41">
              <w:rPr>
                <w:color w:val="000000" w:themeColor="text1"/>
                <w:sz w:val="22"/>
                <w:szCs w:val="22"/>
              </w:rPr>
              <w:t>the higher dose (162mg/day) expert’s opinion is to stop by 36 weeks</w:t>
            </w:r>
            <w:r w:rsidR="00294BEC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2A4BCB6" w14:textId="7CEA6CF1" w:rsidR="003A4D52" w:rsidRPr="003A4D52" w:rsidRDefault="003A4D52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3923F7" w14:paraId="1464B9CE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5837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LDA be stopped at 36 weeks?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FF1D" w14:textId="6C1E967B" w:rsidR="00A075FF" w:rsidRPr="00AB5C41" w:rsidRDefault="00E87028">
            <w:pPr>
              <w:rPr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In practice</w:t>
            </w:r>
            <w:r w:rsidR="008149D3" w:rsidRPr="00AB5C4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510E09" w:rsidRPr="00AB5C41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8149D3" w:rsidRPr="00AB5C41">
              <w:rPr>
                <w:color w:val="000000" w:themeColor="text1"/>
                <w:sz w:val="22"/>
                <w:szCs w:val="22"/>
              </w:rPr>
              <w:t>patient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can stop at 36 weeks because </w:t>
            </w:r>
            <w:r w:rsidR="00180EF1" w:rsidRPr="00AB5C41">
              <w:rPr>
                <w:color w:val="000000" w:themeColor="text1"/>
                <w:sz w:val="22"/>
                <w:szCs w:val="22"/>
              </w:rPr>
              <w:t xml:space="preserve">pregnancy would be considered full-term at </w:t>
            </w:r>
            <w:r w:rsidR="00345072" w:rsidRPr="00AB5C41">
              <w:rPr>
                <w:color w:val="000000" w:themeColor="text1"/>
                <w:sz w:val="22"/>
                <w:szCs w:val="22"/>
              </w:rPr>
              <w:t>~</w:t>
            </w:r>
            <w:r w:rsidR="00180EF1" w:rsidRPr="00AB5C41">
              <w:rPr>
                <w:color w:val="000000" w:themeColor="text1"/>
                <w:sz w:val="22"/>
                <w:szCs w:val="22"/>
              </w:rPr>
              <w:t>37 weeks</w:t>
            </w:r>
            <w:r w:rsidR="000A17D8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DD3A6B" w:rsidRPr="00AB5C41">
              <w:rPr>
                <w:color w:val="000000" w:themeColor="text1"/>
                <w:sz w:val="22"/>
                <w:szCs w:val="22"/>
              </w:rPr>
              <w:t>but the recommendation from ACOG is to continue until delivery</w:t>
            </w:r>
            <w:r w:rsidR="00AB5C41">
              <w:rPr>
                <w:sz w:val="22"/>
                <w:szCs w:val="22"/>
              </w:rPr>
              <w:t>.</w:t>
            </w:r>
          </w:p>
        </w:tc>
      </w:tr>
      <w:tr w:rsidR="003923F7" w14:paraId="23451BEF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C523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Can you upload a link to the checklist for eligibility for the use of LDA?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A3E6" w14:textId="739DFB56" w:rsidR="00E0765D" w:rsidRPr="00AB5C41" w:rsidRDefault="00000000">
            <w:pPr>
              <w:rPr>
                <w:color w:val="000000" w:themeColor="text1"/>
                <w:sz w:val="22"/>
                <w:szCs w:val="22"/>
              </w:rPr>
            </w:pPr>
            <w:hyperlink r:id="rId6" w:anchor="tbl1" w:history="1">
              <w:r w:rsidR="00AB5C41" w:rsidRPr="00AB5C41">
                <w:rPr>
                  <w:rStyle w:val="Hyperlink"/>
                  <w:color w:val="000000" w:themeColor="text1"/>
                  <w:sz w:val="22"/>
                  <w:szCs w:val="22"/>
                </w:rPr>
                <w:t>https://www.sciencedirect.com/science/article/pii/S0002937823002776?via%3Dihub#tbl1</w:t>
              </w:r>
            </w:hyperlink>
          </w:p>
          <w:p w14:paraId="26DA35C9" w14:textId="77777777" w:rsidR="00E0765D" w:rsidRDefault="00E0765D">
            <w:pPr>
              <w:rPr>
                <w:sz w:val="22"/>
                <w:szCs w:val="22"/>
              </w:rPr>
            </w:pPr>
          </w:p>
          <w:p w14:paraId="57EFBD7C" w14:textId="0828F8B7" w:rsidR="00E0765D" w:rsidRDefault="00E0765D">
            <w:pPr>
              <w:rPr>
                <w:sz w:val="22"/>
                <w:szCs w:val="22"/>
              </w:rPr>
            </w:pPr>
          </w:p>
        </w:tc>
      </w:tr>
      <w:tr w:rsidR="003923F7" w14:paraId="0761F5FD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6A28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enteric coated aspirin help the same as non-coated?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4DDB" w14:textId="1A841875" w:rsidR="003D7293" w:rsidRPr="00AB5C41" w:rsidRDefault="003D7293">
            <w:pPr>
              <w:rPr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Clinical trials and guidelines do not differentiate between formulations</w:t>
            </w:r>
            <w:r w:rsidR="00ED0D01" w:rsidRPr="00AB5C41">
              <w:rPr>
                <w:color w:val="000000" w:themeColor="text1"/>
                <w:sz w:val="22"/>
                <w:szCs w:val="22"/>
              </w:rPr>
              <w:t>. A</w:t>
            </w:r>
            <w:r w:rsidR="007D58C8" w:rsidRPr="00AB5C41">
              <w:rPr>
                <w:color w:val="000000" w:themeColor="text1"/>
                <w:sz w:val="22"/>
                <w:szCs w:val="22"/>
              </w:rPr>
              <w:t>t lower doses (</w:t>
            </w:r>
            <w:r w:rsidR="005578F2" w:rsidRPr="00AB5C41">
              <w:rPr>
                <w:color w:val="000000" w:themeColor="text1"/>
                <w:sz w:val="22"/>
                <w:szCs w:val="22"/>
              </w:rPr>
              <w:t xml:space="preserve">e.g. 81mg) </w:t>
            </w:r>
            <w:r w:rsidR="00A143A0" w:rsidRPr="00AB5C41">
              <w:rPr>
                <w:color w:val="000000" w:themeColor="text1"/>
                <w:sz w:val="22"/>
                <w:szCs w:val="22"/>
              </w:rPr>
              <w:t xml:space="preserve">only COX-1 is </w:t>
            </w:r>
            <w:r w:rsidR="00AB5C41" w:rsidRPr="00AB5C41">
              <w:rPr>
                <w:color w:val="000000" w:themeColor="text1"/>
                <w:sz w:val="22"/>
                <w:szCs w:val="22"/>
              </w:rPr>
              <w:t>inhibited,</w:t>
            </w:r>
            <w:r w:rsidR="00584E98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072D0F" w:rsidRPr="00AB5C41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920920" w:rsidRPr="00AB5C41">
              <w:rPr>
                <w:color w:val="000000" w:themeColor="text1"/>
                <w:sz w:val="22"/>
                <w:szCs w:val="22"/>
              </w:rPr>
              <w:t>aspirin delivers</w:t>
            </w:r>
            <w:r w:rsidR="00415862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5B6093" w:rsidRPr="00AB5C41">
              <w:rPr>
                <w:color w:val="000000" w:themeColor="text1"/>
                <w:sz w:val="22"/>
                <w:szCs w:val="22"/>
              </w:rPr>
              <w:t>preventive effect</w:t>
            </w:r>
            <w:r w:rsidR="00984F1A" w:rsidRPr="00AB5C41">
              <w:rPr>
                <w:color w:val="000000" w:themeColor="text1"/>
                <w:sz w:val="22"/>
                <w:szCs w:val="22"/>
              </w:rPr>
              <w:t>,</w:t>
            </w:r>
            <w:r w:rsidR="005B6093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3F72" w:rsidRPr="00AB5C41">
              <w:rPr>
                <w:color w:val="000000" w:themeColor="text1"/>
                <w:sz w:val="22"/>
                <w:szCs w:val="22"/>
              </w:rPr>
              <w:t>so do</w:t>
            </w:r>
            <w:r w:rsidR="00984F1A" w:rsidRPr="00AB5C41">
              <w:rPr>
                <w:color w:val="000000" w:themeColor="text1"/>
                <w:sz w:val="22"/>
                <w:szCs w:val="22"/>
              </w:rPr>
              <w:t>sage</w:t>
            </w:r>
            <w:r w:rsidR="00CB3F72" w:rsidRPr="00AB5C41">
              <w:rPr>
                <w:color w:val="000000" w:themeColor="text1"/>
                <w:sz w:val="22"/>
                <w:szCs w:val="22"/>
              </w:rPr>
              <w:t xml:space="preserve"> is the </w:t>
            </w:r>
            <w:r w:rsidR="00984F1A" w:rsidRPr="00AB5C41">
              <w:rPr>
                <w:color w:val="000000" w:themeColor="text1"/>
                <w:sz w:val="22"/>
                <w:szCs w:val="22"/>
              </w:rPr>
              <w:t>key factor</w:t>
            </w:r>
            <w:r w:rsidR="00CB3F72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50F853A" w14:textId="77777777" w:rsidR="004E6638" w:rsidRDefault="004E6638">
            <w:pPr>
              <w:rPr>
                <w:color w:val="0070C0"/>
                <w:sz w:val="22"/>
                <w:szCs w:val="22"/>
              </w:rPr>
            </w:pPr>
          </w:p>
          <w:p w14:paraId="0DEE3B34" w14:textId="5256CE56" w:rsidR="004E6638" w:rsidRPr="004E6638" w:rsidRDefault="004E6638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3923F7" w14:paraId="044A55C2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91F2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What’s the best way of holding conversations with patients without them feel like being ‘targeted’?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3005" w14:textId="77777777" w:rsidR="003923F7" w:rsidRPr="00AB5C41" w:rsidRDefault="009F2068">
            <w:pPr>
              <w:rPr>
                <w:color w:val="000000" w:themeColor="text1"/>
                <w:sz w:val="22"/>
                <w:szCs w:val="22"/>
              </w:rPr>
            </w:pPr>
            <w:r w:rsidRPr="00AB5C41">
              <w:rPr>
                <w:color w:val="000000" w:themeColor="text1"/>
                <w:sz w:val="22"/>
                <w:szCs w:val="22"/>
              </w:rPr>
              <w:t>Yes, the December Webinar would be helpful</w:t>
            </w:r>
            <w:r w:rsidR="0053584E" w:rsidRPr="00AB5C41">
              <w:rPr>
                <w:color w:val="000000" w:themeColor="text1"/>
                <w:sz w:val="22"/>
                <w:szCs w:val="22"/>
              </w:rPr>
              <w:t xml:space="preserve"> (“LDA Campai</w:t>
            </w:r>
            <w:r w:rsidR="00DC0709" w:rsidRPr="00AB5C41">
              <w:rPr>
                <w:color w:val="000000" w:themeColor="text1"/>
                <w:sz w:val="22"/>
                <w:szCs w:val="22"/>
              </w:rPr>
              <w:t>gn</w:t>
            </w:r>
            <w:r w:rsidR="00D90DE9" w:rsidRPr="00AB5C41">
              <w:rPr>
                <w:color w:val="000000" w:themeColor="text1"/>
                <w:sz w:val="22"/>
                <w:szCs w:val="22"/>
              </w:rPr>
              <w:t xml:space="preserve"> Webinar Series – Discussing Risk Respectfully)</w:t>
            </w:r>
            <w:r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CCE77A" w14:textId="3E66F5E0" w:rsidR="004E6638" w:rsidRPr="00AB5C41" w:rsidRDefault="0000000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hyperlink r:id="rId7" w:history="1">
              <w:r w:rsidR="004E6638" w:rsidRPr="00AB5C41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</w:rPr>
                <w:t>Discussing Risk Respectfully:  LDA Webinar</w:t>
              </w:r>
            </w:hyperlink>
          </w:p>
          <w:p w14:paraId="0C93E70F" w14:textId="77777777" w:rsidR="004E6638" w:rsidRDefault="004E6638">
            <w:pPr>
              <w:rPr>
                <w:color w:val="0070C0"/>
                <w:sz w:val="22"/>
                <w:szCs w:val="22"/>
              </w:rPr>
            </w:pPr>
          </w:p>
          <w:p w14:paraId="66B9E31A" w14:textId="5326A4FA" w:rsidR="004E6638" w:rsidRPr="009F2068" w:rsidRDefault="004E6638">
            <w:pPr>
              <w:rPr>
                <w:color w:val="0070C0"/>
                <w:sz w:val="22"/>
                <w:szCs w:val="22"/>
              </w:rPr>
            </w:pPr>
          </w:p>
        </w:tc>
      </w:tr>
      <w:tr w:rsidR="003923F7" w14:paraId="7967E82F" w14:textId="77777777" w:rsidTr="00DB32D4">
        <w:tc>
          <w:tcPr>
            <w:tcW w:w="6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A9E0" w14:textId="77777777" w:rsidR="003923F7" w:rsidRDefault="00392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these available to folks in other states?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CB45" w14:textId="55266C49" w:rsidR="004E6638" w:rsidRPr="00AB5C41" w:rsidRDefault="00000000">
            <w:pPr>
              <w:rPr>
                <w:color w:val="0070C0"/>
                <w:sz w:val="22"/>
                <w:szCs w:val="22"/>
              </w:rPr>
            </w:pPr>
            <w:hyperlink r:id="rId8" w:history="1">
              <w:r w:rsidR="00AB5C41" w:rsidRPr="00AB5C41">
                <w:rPr>
                  <w:rStyle w:val="Hyperlink"/>
                  <w:color w:val="000000" w:themeColor="text1"/>
                  <w:sz w:val="22"/>
                  <w:szCs w:val="22"/>
                </w:rPr>
                <w:t>https://www.cmqcc.org/qi-initiatives/low-dose-aspirin-prevent-preeclampsia</w:t>
              </w:r>
            </w:hyperlink>
            <w:r w:rsidR="00AB5C41" w:rsidRPr="00AB5C4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B297FA0" w14:textId="77777777" w:rsidR="00EE24F9" w:rsidRDefault="00EE24F9"/>
    <w:sectPr w:rsidR="00EE24F9" w:rsidSect="000E5D05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CCA2" w14:textId="77777777" w:rsidR="000E5D05" w:rsidRDefault="000E5D05" w:rsidP="00DB32D4">
      <w:r>
        <w:separator/>
      </w:r>
    </w:p>
  </w:endnote>
  <w:endnote w:type="continuationSeparator" w:id="0">
    <w:p w14:paraId="36115BE6" w14:textId="77777777" w:rsidR="000E5D05" w:rsidRDefault="000E5D05" w:rsidP="00DB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D986" w14:textId="228CC3F8" w:rsidR="002E41BA" w:rsidRDefault="002E41BA" w:rsidP="002E41BA">
    <w:pPr>
      <w:pStyle w:val="Footer"/>
      <w:jc w:val="right"/>
    </w:pPr>
    <w:r>
      <w:t>Updated February 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B9BE" w14:textId="77777777" w:rsidR="000E5D05" w:rsidRDefault="000E5D05" w:rsidP="00DB32D4">
      <w:r>
        <w:separator/>
      </w:r>
    </w:p>
  </w:footnote>
  <w:footnote w:type="continuationSeparator" w:id="0">
    <w:p w14:paraId="262F66D7" w14:textId="77777777" w:rsidR="000E5D05" w:rsidRDefault="000E5D05" w:rsidP="00DB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7"/>
    <w:rsid w:val="00060180"/>
    <w:rsid w:val="00072D0F"/>
    <w:rsid w:val="00087E63"/>
    <w:rsid w:val="000A17D8"/>
    <w:rsid w:val="000E5D05"/>
    <w:rsid w:val="00180EF1"/>
    <w:rsid w:val="001B6E50"/>
    <w:rsid w:val="001F6695"/>
    <w:rsid w:val="00202D7E"/>
    <w:rsid w:val="0028409F"/>
    <w:rsid w:val="0029373C"/>
    <w:rsid w:val="00294BEC"/>
    <w:rsid w:val="002E41BA"/>
    <w:rsid w:val="00345072"/>
    <w:rsid w:val="003923F7"/>
    <w:rsid w:val="003A4D52"/>
    <w:rsid w:val="003A7E3D"/>
    <w:rsid w:val="003B3665"/>
    <w:rsid w:val="003D7293"/>
    <w:rsid w:val="003D7DDC"/>
    <w:rsid w:val="00402E7E"/>
    <w:rsid w:val="00415862"/>
    <w:rsid w:val="0049615E"/>
    <w:rsid w:val="004D620A"/>
    <w:rsid w:val="004E6638"/>
    <w:rsid w:val="00510E09"/>
    <w:rsid w:val="0053584E"/>
    <w:rsid w:val="005578F2"/>
    <w:rsid w:val="0058055B"/>
    <w:rsid w:val="00584E98"/>
    <w:rsid w:val="005B6093"/>
    <w:rsid w:val="00626C1C"/>
    <w:rsid w:val="00752D5F"/>
    <w:rsid w:val="00767FB3"/>
    <w:rsid w:val="00786522"/>
    <w:rsid w:val="007B57CA"/>
    <w:rsid w:val="007B6784"/>
    <w:rsid w:val="007D58C8"/>
    <w:rsid w:val="00801880"/>
    <w:rsid w:val="008149D3"/>
    <w:rsid w:val="0082169C"/>
    <w:rsid w:val="00831F16"/>
    <w:rsid w:val="00843AE6"/>
    <w:rsid w:val="00860CE1"/>
    <w:rsid w:val="00873801"/>
    <w:rsid w:val="0087381B"/>
    <w:rsid w:val="00874791"/>
    <w:rsid w:val="00881488"/>
    <w:rsid w:val="008865F2"/>
    <w:rsid w:val="008B7B95"/>
    <w:rsid w:val="008C0205"/>
    <w:rsid w:val="008D352A"/>
    <w:rsid w:val="00920920"/>
    <w:rsid w:val="00982917"/>
    <w:rsid w:val="00984F1A"/>
    <w:rsid w:val="00986D17"/>
    <w:rsid w:val="009F2068"/>
    <w:rsid w:val="00A06054"/>
    <w:rsid w:val="00A075FF"/>
    <w:rsid w:val="00A143A0"/>
    <w:rsid w:val="00AB5C41"/>
    <w:rsid w:val="00AC48E2"/>
    <w:rsid w:val="00AD2B29"/>
    <w:rsid w:val="00BC01F8"/>
    <w:rsid w:val="00BC5F75"/>
    <w:rsid w:val="00C5528C"/>
    <w:rsid w:val="00C627B4"/>
    <w:rsid w:val="00CB3F72"/>
    <w:rsid w:val="00D12A3A"/>
    <w:rsid w:val="00D6225D"/>
    <w:rsid w:val="00D90DE9"/>
    <w:rsid w:val="00DB1372"/>
    <w:rsid w:val="00DB32D4"/>
    <w:rsid w:val="00DC0709"/>
    <w:rsid w:val="00DD3A6B"/>
    <w:rsid w:val="00E0765D"/>
    <w:rsid w:val="00E230C2"/>
    <w:rsid w:val="00E35F0B"/>
    <w:rsid w:val="00E87028"/>
    <w:rsid w:val="00E90012"/>
    <w:rsid w:val="00EB4A14"/>
    <w:rsid w:val="00ED0D01"/>
    <w:rsid w:val="00EE24F9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00B5"/>
  <w15:chartTrackingRefBased/>
  <w15:docId w15:val="{F1567902-4841-414D-9F44-D1ABF4C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F7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3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3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3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3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3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3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3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3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3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3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3F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3F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3F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A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7D8"/>
  </w:style>
  <w:style w:type="character" w:customStyle="1" w:styleId="CommentTextChar">
    <w:name w:val="Comment Text Char"/>
    <w:basedOn w:val="DefaultParagraphFont"/>
    <w:link w:val="CommentText"/>
    <w:uiPriority w:val="99"/>
    <w:rsid w:val="000A17D8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7D8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0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D4"/>
    <w:rPr>
      <w:rFonts w:ascii="Calibri" w:hAnsi="Calibri" w:cs="Calibri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D4"/>
    <w:rPr>
      <w:rFonts w:ascii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qcc.org/qi-initiatives/low-dose-aspirin-prevent-preeclamp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JYzFQLMz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002937823002776?via%3Dihu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Ahmadyar, Gina</dc:creator>
  <cp:keywords/>
  <dc:description/>
  <cp:lastModifiedBy>Arronoel Mondala Ashby-Rosellon</cp:lastModifiedBy>
  <cp:revision>5</cp:revision>
  <dcterms:created xsi:type="dcterms:W3CDTF">2024-02-05T18:20:00Z</dcterms:created>
  <dcterms:modified xsi:type="dcterms:W3CDTF">2024-02-05T18:21:00Z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a201d718-7aa1-4f88-94e9-e748d6573a61</vt:lpwstr>
  </property>
</Properties>
</file>